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EB" w:rsidRDefault="004B18EB" w:rsidP="004B18EB">
      <w:pPr>
        <w:spacing w:line="276" w:lineRule="auto"/>
        <w:rPr>
          <w:rFonts w:asciiTheme="minorHAnsi" w:eastAsia="Times New Roman" w:hAnsiTheme="minorHAnsi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column">
              <wp:posOffset>-29210</wp:posOffset>
            </wp:positionH>
            <wp:positionV relativeFrom="paragraph">
              <wp:posOffset>-354965</wp:posOffset>
            </wp:positionV>
            <wp:extent cx="1334135" cy="31623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F72" w:rsidRPr="00E45F72" w:rsidRDefault="00E45F72" w:rsidP="00E45F72">
      <w:pPr>
        <w:spacing w:line="276" w:lineRule="auto"/>
        <w:rPr>
          <w:b/>
          <w:bCs/>
          <w:sz w:val="24"/>
          <w:szCs w:val="24"/>
          <w:lang w:eastAsia="pl-PL"/>
        </w:rPr>
      </w:pPr>
      <w:r w:rsidRPr="00E45F72">
        <w:rPr>
          <w:b/>
          <w:bCs/>
          <w:sz w:val="24"/>
          <w:szCs w:val="24"/>
          <w:lang w:eastAsia="pl-PL"/>
        </w:rPr>
        <w:t>Tarcza Antykryzysowa - więcej osób i firm skorzysta z wsparcia ZUS.</w:t>
      </w:r>
    </w:p>
    <w:p w:rsidR="00E45F72" w:rsidRDefault="00E45F72" w:rsidP="00E45F72">
      <w:pPr>
        <w:spacing w:line="276" w:lineRule="auto"/>
        <w:rPr>
          <w:b/>
          <w:bCs/>
          <w:lang w:eastAsia="pl-PL"/>
        </w:rPr>
      </w:pPr>
    </w:p>
    <w:p w:rsidR="00E45F72" w:rsidRDefault="00E45F72" w:rsidP="00E45F72">
      <w:pPr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Od 18 kwietnia br. weszły w życie przepisy rozszerzające tarczę antykryzysową. Najważniejsze wprowadzone zmiany dotyczą braku progu przychodu przy </w:t>
      </w:r>
      <w:r w:rsidR="00557426">
        <w:rPr>
          <w:b/>
          <w:bCs/>
          <w:lang w:eastAsia="pl-PL"/>
        </w:rPr>
        <w:t xml:space="preserve">świadczeniu </w:t>
      </w:r>
      <w:r>
        <w:rPr>
          <w:b/>
          <w:bCs/>
          <w:lang w:eastAsia="pl-PL"/>
        </w:rPr>
        <w:t>postojowym dla samozatrudnionych, możliwość ponownej wypłaty tego świadczenia oraz zwolnienie z 50 proc. kwoty składek dla firm zgłaszających od 10 do 49 osób.</w:t>
      </w:r>
    </w:p>
    <w:p w:rsidR="004C1787" w:rsidRDefault="00E24A01" w:rsidP="004C1787">
      <w:pPr>
        <w:rPr>
          <w:b/>
          <w:bCs/>
        </w:rPr>
      </w:pPr>
      <w:hyperlink r:id="rId6" w:history="1">
        <w:r w:rsidR="004C1787">
          <w:rPr>
            <w:rStyle w:val="Hipercze"/>
            <w:b/>
            <w:bCs/>
          </w:rPr>
          <w:t>https://www.zus.pl/o-zus/aktualnosci/-/publisher/aktualnosc/1/tarcza-antykryzysowa-wsparcie-z-zus/2551371</w:t>
        </w:r>
      </w:hyperlink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 xml:space="preserve">Nowe rozwiązania przewidują, że ze zwolnienia mogą skorzystać firmy zgłaszające do ubezpieczeń od 10 do 49 osób. W przypadku tych firm zwolnieniem zostanie objęte 50 proc. kwoty składek wykazanej w deklaracjach rozliczeniowych.  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>Krąg podmiotów uprawnionych do zwolnienia ze składek poszerzył się także o spółdzielnie socjalne. W ich przypadku nie ma znaczenia liczba osób zgłaszanych do ubezpieczeń. Ze zwolnienia ze składek mogą skorzystać również firmy założone w lutym i w marcu. Ponadto przy ustalaniu liczby ubezpieczonych zgłaszanych przez firmę nie bierze się pod uwagę pracowników młodocianych.</w:t>
      </w:r>
    </w:p>
    <w:p w:rsidR="00E45F72" w:rsidRDefault="00E24A01" w:rsidP="00E45F72">
      <w:pPr>
        <w:rPr>
          <w:b/>
        </w:rPr>
      </w:pPr>
      <w:hyperlink r:id="rId7" w:history="1">
        <w:r w:rsidR="00E45F72">
          <w:rPr>
            <w:rStyle w:val="Hipercze"/>
            <w:b/>
          </w:rPr>
          <w:t>Zwolnienie z obowiązku opłacenia należności z tytułu składek za marzec – maj 2020 r.</w:t>
        </w:r>
      </w:hyperlink>
    </w:p>
    <w:p w:rsidR="00E45F72" w:rsidRDefault="00E45F72" w:rsidP="00E45F72">
      <w:pPr>
        <w:spacing w:line="276" w:lineRule="auto"/>
        <w:jc w:val="both"/>
        <w:rPr>
          <w:rFonts w:asciiTheme="minorHAnsi" w:hAnsiTheme="minorHAnsi" w:cstheme="minorBidi"/>
          <w:color w:val="1F497D" w:themeColor="dark2"/>
          <w:lang w:eastAsia="pl-PL"/>
        </w:rPr>
      </w:pPr>
    </w:p>
    <w:p w:rsidR="00E45F72" w:rsidRDefault="00E45F72" w:rsidP="00E45F72">
      <w:pPr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Świadczenie postojowe do trzech razy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 xml:space="preserve">Nowa odsłona tarczy antykryzysowej umożliwia ponowną wypłatę postojowego, ale nie więcej niż trzy razy. Warunkiem będzie oświadczenie przedsiębiorcy lub osoby wykonującej umowę cywilnoprawną, że sytuacja materialna wykazana we wcześniejszym </w:t>
      </w:r>
      <w:r w:rsidR="00094208">
        <w:rPr>
          <w:lang w:eastAsia="pl-PL"/>
        </w:rPr>
        <w:t>wniosku nie uległa poprawie.  W </w:t>
      </w:r>
      <w:r>
        <w:rPr>
          <w:lang w:eastAsia="pl-PL"/>
        </w:rPr>
        <w:t>przypadku świadczeń postojowych dla osób samozatrudnionych nie będzie obowiązywał warunek granicznej kwoty przychodu. Ze świadczenia postojowego mogą teraz skorzystać również zleceniobiorcy, którzy zawarli umowy w lutym lub w marcu. Wcześniej obowiązywał warunek zawarcia umowy przed 1 lutego. Data ta pozostaje bez zmian dla samozatrudnionych.</w:t>
      </w:r>
    </w:p>
    <w:p w:rsidR="00E45F72" w:rsidRDefault="00E24A01" w:rsidP="00E45F72">
      <w:pPr>
        <w:rPr>
          <w:b/>
        </w:rPr>
      </w:pPr>
      <w:hyperlink r:id="rId8" w:history="1">
        <w:r w:rsidR="00E45F72">
          <w:rPr>
            <w:rStyle w:val="Hipercze"/>
            <w:b/>
          </w:rPr>
          <w:t>Świadczenie postojowe dla osób wykonujących umowy cywilnoprawne</w:t>
        </w:r>
      </w:hyperlink>
    </w:p>
    <w:p w:rsidR="00E45F72" w:rsidRDefault="00E24A01" w:rsidP="00E45F72">
      <w:pPr>
        <w:rPr>
          <w:b/>
        </w:rPr>
      </w:pPr>
      <w:hyperlink r:id="rId9" w:history="1">
        <w:r w:rsidR="00E45F72">
          <w:rPr>
            <w:rStyle w:val="Hipercze"/>
            <w:b/>
          </w:rPr>
          <w:t>Świadczenie postojowe dla osób prowadzących działalność gospodarczą</w:t>
        </w:r>
      </w:hyperlink>
    </w:p>
    <w:p w:rsidR="00E45F72" w:rsidRDefault="00E45F72" w:rsidP="00E45F72">
      <w:pPr>
        <w:rPr>
          <w:b/>
        </w:rPr>
      </w:pPr>
    </w:p>
    <w:p w:rsidR="00E45F72" w:rsidRDefault="00E45F72" w:rsidP="00E45F72">
      <w:pPr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Bez naliczania odsetek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>Przedsiębiorcy będą mogli również skorzystać z odstąpienia od pobierania odsetek za zwłokę przy opłacaniu składek. Rozwiązanie to będzie przeznaczone dla osób, które mają trudności w terminowym opłaceniu składek z powodu sytuacji wywołanej przez pandemię. Ulga ta będzie dotyczyła wszystkich płatników – nie ma znaczenia wielkość przedsiębiorstwa.</w:t>
      </w:r>
    </w:p>
    <w:p w:rsidR="00E45F72" w:rsidRDefault="00E24A01" w:rsidP="00E45F72">
      <w:pPr>
        <w:rPr>
          <w:b/>
        </w:rPr>
      </w:pPr>
      <w:hyperlink r:id="rId10" w:history="1">
        <w:r w:rsidR="00E45F72">
          <w:rPr>
            <w:rStyle w:val="Hipercze"/>
            <w:b/>
          </w:rPr>
          <w:t>Odstąpienie od pobierania odsetek za zwłokę dla należności za okres od stycznia 2020 r.</w:t>
        </w:r>
      </w:hyperlink>
    </w:p>
    <w:p w:rsidR="00E45F72" w:rsidRDefault="00E45F72" w:rsidP="00E45F72">
      <w:pPr>
        <w:rPr>
          <w:b/>
        </w:rPr>
      </w:pPr>
    </w:p>
    <w:p w:rsidR="00E45F72" w:rsidRPr="0020599B" w:rsidRDefault="00E45F72" w:rsidP="00E45F72">
      <w:pPr>
        <w:jc w:val="both"/>
        <w:rPr>
          <w:b/>
          <w:color w:val="000000" w:themeColor="text1"/>
        </w:rPr>
      </w:pPr>
      <w:r w:rsidRPr="0020599B">
        <w:rPr>
          <w:b/>
          <w:color w:val="000000" w:themeColor="text1"/>
        </w:rPr>
        <w:t>Zawieszenie spłaty umowy o rozłożenie zadłużenia na raty lub umowy o odroczeniu terminu płatności na okres 3 miesięcy</w:t>
      </w:r>
    </w:p>
    <w:p w:rsidR="00E45F72" w:rsidRPr="0020599B" w:rsidRDefault="00E45F72" w:rsidP="00E45F72">
      <w:pPr>
        <w:jc w:val="both"/>
        <w:rPr>
          <w:color w:val="000000" w:themeColor="text1"/>
        </w:rPr>
      </w:pPr>
      <w:r w:rsidRPr="0020599B">
        <w:rPr>
          <w:color w:val="000000" w:themeColor="text1"/>
        </w:rPr>
        <w:t>Rozwiązanie to jest przeznaczone dla płatników składek, którzy mają zawartą z Zakładem umowę o rozłożeniu zadłużenia na raty lub umowę o odroczeniu terminu płatności, i którzy mają trudności w ich realizacji w następstwie COVID-19. Płatnicy Ci mogą skorzystać z zawieszenia realizacji umowy na okres 3 miesięcy począwszy od terminu spłaty raty bądź terminu płatności odroczonej składki przypadających w miesiącu marcu, kwietniu lub maju 2020 r. Ulga ta dotyczy wszystkich płatników składek - nie ma znaczenia wielkość przedsiębiorstwa</w:t>
      </w:r>
    </w:p>
    <w:p w:rsidR="00E45F72" w:rsidRDefault="00E24A01" w:rsidP="00E45F72">
      <w:pPr>
        <w:rPr>
          <w:b/>
        </w:rPr>
      </w:pPr>
      <w:hyperlink r:id="rId11" w:history="1">
        <w:r w:rsidR="00E45F72">
          <w:rPr>
            <w:rStyle w:val="Hipercze"/>
            <w:b/>
          </w:rPr>
          <w:t>Zawieszenie spłaty umowy o rozłożenie zadłużenia na raty lub umowy o odroczeniu terminu płatności na okres 3 miesięcy</w:t>
        </w:r>
      </w:hyperlink>
      <w:r w:rsidR="00E45F72">
        <w:rPr>
          <w:b/>
        </w:rPr>
        <w:t xml:space="preserve"> </w:t>
      </w:r>
    </w:p>
    <w:p w:rsidR="00E45F72" w:rsidRDefault="00E45F72" w:rsidP="00E45F72">
      <w:pPr>
        <w:spacing w:line="276" w:lineRule="auto"/>
        <w:jc w:val="both"/>
        <w:rPr>
          <w:rFonts w:asciiTheme="minorHAnsi" w:hAnsiTheme="minorHAnsi" w:cstheme="minorBidi"/>
          <w:color w:val="1F497D" w:themeColor="dark2"/>
          <w:lang w:eastAsia="pl-PL"/>
        </w:rPr>
      </w:pPr>
    </w:p>
    <w:p w:rsidR="00E45F72" w:rsidRDefault="00E45F72" w:rsidP="00E45F72">
      <w:pPr>
        <w:jc w:val="both"/>
        <w:rPr>
          <w:lang w:eastAsia="pl-PL"/>
        </w:rPr>
      </w:pPr>
      <w:r>
        <w:rPr>
          <w:b/>
          <w:bCs/>
          <w:lang w:eastAsia="pl-PL"/>
        </w:rPr>
        <w:t>Składajmy wnioski drogą elektroniczną</w:t>
      </w:r>
    </w:p>
    <w:p w:rsidR="00E45F72" w:rsidRDefault="00E45F72" w:rsidP="00E45F72">
      <w:pPr>
        <w:jc w:val="both"/>
        <w:rPr>
          <w:lang w:eastAsia="pl-PL"/>
        </w:rPr>
      </w:pPr>
      <w:r>
        <w:rPr>
          <w:lang w:eastAsia="pl-PL"/>
        </w:rPr>
        <w:t>Zachęcamy do składania wniosków o pomoc w ramach tarczy antykryzysowej elektronicznie, co znacząco zmniejsza ryzyko popełnienia błędu i tym samym przyspiesza realizację sprawy.</w:t>
      </w:r>
    </w:p>
    <w:p w:rsidR="002E1388" w:rsidRDefault="002E1388" w:rsidP="00E45F72">
      <w:pPr>
        <w:pStyle w:val="Jednostka"/>
        <w:jc w:val="both"/>
        <w:rPr>
          <w:b/>
          <w:bCs/>
          <w:color w:val="auto"/>
        </w:rPr>
      </w:pPr>
    </w:p>
    <w:p w:rsidR="00E45F72" w:rsidRDefault="002E1388" w:rsidP="00E45F72">
      <w:pPr>
        <w:pStyle w:val="Jednostka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Dodatkowe </w:t>
      </w:r>
      <w:r w:rsidR="00E45F72">
        <w:rPr>
          <w:b/>
          <w:bCs/>
          <w:color w:val="000000"/>
        </w:rPr>
        <w:t xml:space="preserve"> wyjaśnienia </w:t>
      </w:r>
      <w:r w:rsidR="00E45F72">
        <w:rPr>
          <w:b/>
          <w:bCs/>
          <w:color w:val="auto"/>
        </w:rPr>
        <w:t>dostępne są na stronie internetowej ZUS:</w:t>
      </w:r>
    </w:p>
    <w:p w:rsidR="00E45F72" w:rsidRDefault="00E24A01" w:rsidP="00E45F72">
      <w:pPr>
        <w:rPr>
          <w:b/>
          <w:bCs/>
        </w:rPr>
      </w:pPr>
      <w:hyperlink r:id="rId12" w:history="1">
        <w:r w:rsidR="00E45F72">
          <w:rPr>
            <w:rStyle w:val="Hipercze"/>
            <w:b/>
            <w:bCs/>
          </w:rPr>
          <w:t>https://www.zus.pl/baza-wiedzy/biezace-wyjasnienia-komorek-merytorycznych/firmy</w:t>
        </w:r>
      </w:hyperlink>
    </w:p>
    <w:p w:rsidR="00E45F72" w:rsidRDefault="00E45F72" w:rsidP="00E45F72">
      <w:pPr>
        <w:jc w:val="both"/>
      </w:pPr>
    </w:p>
    <w:p w:rsidR="00E45F72" w:rsidRDefault="00E45F72" w:rsidP="00E45F72">
      <w:pPr>
        <w:rPr>
          <w:b/>
          <w:bCs/>
        </w:rPr>
      </w:pPr>
      <w:r>
        <w:rPr>
          <w:b/>
          <w:bCs/>
        </w:rPr>
        <w:t>Wniosek do ZUS można przekazać:</w:t>
      </w:r>
    </w:p>
    <w:p w:rsidR="00E45F72" w:rsidRDefault="00E45F72" w:rsidP="00E45F72">
      <w:pPr>
        <w:rPr>
          <w:color w:val="0563C1"/>
          <w:u w:val="single"/>
        </w:rPr>
      </w:pPr>
      <w:r>
        <w:rPr>
          <w:rFonts w:ascii="Wingdings" w:hAnsi="Wingdings"/>
        </w:rPr>
        <w:t></w:t>
      </w:r>
      <w:r>
        <w:rPr>
          <w:rFonts w:ascii="Times New Roman" w:hAnsi="Times New Roman"/>
        </w:rPr>
        <w:t xml:space="preserve">  </w:t>
      </w:r>
      <w:r>
        <w:rPr>
          <w:b/>
          <w:bCs/>
        </w:rPr>
        <w:t>drogą elektroniczną przez PUE ZUS</w:t>
      </w:r>
      <w:r>
        <w:rPr>
          <w:color w:val="0563C1"/>
          <w:u w:val="single"/>
        </w:rPr>
        <w:t xml:space="preserve"> </w:t>
      </w:r>
    </w:p>
    <w:p w:rsidR="00E45F72" w:rsidRDefault="00E45F72" w:rsidP="00E45F72">
      <w:pPr>
        <w:ind w:firstLine="708"/>
        <w:rPr>
          <w:color w:val="44546A"/>
        </w:rPr>
      </w:pPr>
      <w:r>
        <w:rPr>
          <w:color w:val="0563C1"/>
          <w:u w:val="single"/>
        </w:rPr>
        <w:t>(</w:t>
      </w:r>
      <w:hyperlink r:id="rId13" w:history="1">
        <w:r>
          <w:rPr>
            <w:rStyle w:val="Hipercze"/>
          </w:rPr>
          <w:t>PUE krok po kroku rejestracja i logowanie</w:t>
        </w:r>
      </w:hyperlink>
      <w:r>
        <w:rPr>
          <w:color w:val="44546A"/>
        </w:rPr>
        <w:t>)</w:t>
      </w:r>
    </w:p>
    <w:p w:rsidR="00E45F72" w:rsidRDefault="00E45F72" w:rsidP="00E45F72">
      <w:pPr>
        <w:ind w:left="709"/>
        <w:rPr>
          <w:color w:val="44546A"/>
        </w:rPr>
      </w:pPr>
      <w:r>
        <w:rPr>
          <w:color w:val="0563C1"/>
          <w:u w:val="single"/>
        </w:rPr>
        <w:t>(</w:t>
      </w:r>
      <w:hyperlink r:id="rId14" w:history="1">
        <w:r>
          <w:rPr>
            <w:rStyle w:val="Hipercze"/>
          </w:rPr>
          <w:t>Jak założysz profil na PUE ZUS za pośrednictwem banku</w:t>
        </w:r>
      </w:hyperlink>
      <w:r>
        <w:rPr>
          <w:color w:val="44546A"/>
        </w:rPr>
        <w:t>)</w:t>
      </w:r>
    </w:p>
    <w:p w:rsidR="00E45F72" w:rsidRDefault="00E24A01" w:rsidP="00E45F72">
      <w:pPr>
        <w:ind w:left="709"/>
        <w:rPr>
          <w:color w:val="44546A"/>
        </w:rPr>
      </w:pPr>
      <w:hyperlink r:id="rId15" w:history="1">
        <w:r w:rsidR="00E45F72">
          <w:rPr>
            <w:rStyle w:val="Hipercze"/>
          </w:rPr>
          <w:t>(Banki, z którymi współpracuje ZUS)</w:t>
        </w:r>
      </w:hyperlink>
    </w:p>
    <w:p w:rsidR="00E45F72" w:rsidRDefault="00E45F72" w:rsidP="00E45F72">
      <w:pPr>
        <w:rPr>
          <w:b/>
          <w:bCs/>
        </w:rPr>
      </w:pPr>
      <w:r>
        <w:rPr>
          <w:rFonts w:ascii="Wingdings" w:hAnsi="Wingdings"/>
          <w:b/>
          <w:bCs/>
        </w:rPr>
        <w:t></w:t>
      </w:r>
      <w:r>
        <w:rPr>
          <w:rFonts w:ascii="Times New Roman" w:hAnsi="Times New Roman"/>
          <w:b/>
          <w:bCs/>
        </w:rPr>
        <w:t xml:space="preserve">  </w:t>
      </w:r>
      <w:hyperlink r:id="rId16" w:history="1">
        <w:r>
          <w:rPr>
            <w:rStyle w:val="Hipercze"/>
            <w:b/>
            <w:bCs/>
          </w:rPr>
          <w:t>drogą elektroniczną przez PUE ZUS, za pośrednictwem strony gov.pl (link do strony zewnętrznej)</w:t>
        </w:r>
      </w:hyperlink>
    </w:p>
    <w:p w:rsidR="00E45F72" w:rsidRDefault="00E45F72" w:rsidP="00E45F72">
      <w:r>
        <w:rPr>
          <w:rFonts w:ascii="Wingdings" w:hAnsi="Wingdings"/>
        </w:rPr>
        <w:t></w:t>
      </w:r>
      <w:r>
        <w:rPr>
          <w:rFonts w:ascii="Times New Roman" w:hAnsi="Times New Roman"/>
        </w:rPr>
        <w:t xml:space="preserve">  </w:t>
      </w:r>
      <w:r>
        <w:t>za pośrednictwem poczty,</w:t>
      </w:r>
    </w:p>
    <w:p w:rsidR="00E45F72" w:rsidRDefault="00E45F72" w:rsidP="00E45F72">
      <w:pPr>
        <w:rPr>
          <w:b/>
          <w:bCs/>
          <w:color w:val="44546A"/>
        </w:rPr>
      </w:pPr>
      <w:r>
        <w:rPr>
          <w:rFonts w:ascii="Wingdings" w:hAnsi="Wingdings"/>
        </w:rPr>
        <w:t></w:t>
      </w:r>
      <w:r>
        <w:rPr>
          <w:rFonts w:ascii="Times New Roman" w:hAnsi="Times New Roman"/>
        </w:rPr>
        <w:t xml:space="preserve">  </w:t>
      </w:r>
      <w:r>
        <w:t xml:space="preserve">osobiście w placówce ZUS – </w:t>
      </w:r>
      <w:r>
        <w:rPr>
          <w:b/>
          <w:bCs/>
        </w:rPr>
        <w:t>do skrzynki na dokumenty</w:t>
      </w:r>
      <w:r>
        <w:t xml:space="preserve"> </w:t>
      </w:r>
      <w:r>
        <w:rPr>
          <w:b/>
          <w:bCs/>
        </w:rPr>
        <w:t>(bez kontaktu z pracownikiem ZUS).</w:t>
      </w:r>
    </w:p>
    <w:p w:rsidR="00E45F72" w:rsidRDefault="00E45F72" w:rsidP="00E45F72"/>
    <w:p w:rsidR="00E45F72" w:rsidRDefault="00E45F72" w:rsidP="00E45F72">
      <w:pPr>
        <w:rPr>
          <w:b/>
          <w:bCs/>
        </w:rPr>
      </w:pPr>
      <w:r>
        <w:rPr>
          <w:b/>
          <w:bCs/>
        </w:rPr>
        <w:t>Kontakt z ZUS:</w:t>
      </w:r>
    </w:p>
    <w:p w:rsidR="00E45F72" w:rsidRDefault="00E45F72" w:rsidP="00E45F72">
      <w:pPr>
        <w:rPr>
          <w:color w:val="44546A"/>
        </w:rPr>
      </w:pPr>
      <w:r>
        <w:rPr>
          <w:rFonts w:ascii="Wingdings" w:hAnsi="Wingdings"/>
          <w:color w:val="44546A"/>
        </w:rPr>
        <w:t></w:t>
      </w:r>
      <w:r>
        <w:rPr>
          <w:rFonts w:ascii="Times New Roman" w:hAnsi="Times New Roman"/>
          <w:color w:val="44546A"/>
        </w:rPr>
        <w:t xml:space="preserve">  </w:t>
      </w:r>
      <w:hyperlink r:id="rId17" w:history="1">
        <w:r>
          <w:rPr>
            <w:rStyle w:val="Hipercze"/>
          </w:rPr>
          <w:t>Kontakt telefoniczny z ZUS od 30 marca br.</w:t>
        </w:r>
      </w:hyperlink>
    </w:p>
    <w:p w:rsidR="00E45F72" w:rsidRDefault="00E45F72" w:rsidP="00E45F72">
      <w:pPr>
        <w:rPr>
          <w:color w:val="44546A"/>
        </w:rPr>
      </w:pPr>
      <w:r>
        <w:rPr>
          <w:rFonts w:ascii="Wingdings" w:hAnsi="Wingdings"/>
          <w:color w:val="44546A"/>
        </w:rPr>
        <w:t></w:t>
      </w:r>
      <w:r>
        <w:rPr>
          <w:rFonts w:ascii="Times New Roman" w:hAnsi="Times New Roman"/>
          <w:color w:val="44546A"/>
        </w:rPr>
        <w:t xml:space="preserve">  </w:t>
      </w:r>
      <w:hyperlink r:id="rId18" w:history="1">
        <w:r>
          <w:rPr>
            <w:rStyle w:val="Hipercze"/>
            <w:b/>
            <w:bCs/>
          </w:rPr>
          <w:t>Kontakt telefoniczny, e-mail do Doradców ds. ulg i umorzeń</w:t>
        </w:r>
      </w:hyperlink>
      <w:r>
        <w:rPr>
          <w:color w:val="44546A"/>
        </w:rPr>
        <w:t>.</w:t>
      </w:r>
    </w:p>
    <w:p w:rsidR="004B190D" w:rsidRPr="007862F8" w:rsidRDefault="004B190D" w:rsidP="00E45F72">
      <w:pPr>
        <w:spacing w:line="276" w:lineRule="auto"/>
      </w:pPr>
      <w:bookmarkStart w:id="0" w:name="_GoBack"/>
      <w:bookmarkEnd w:id="0"/>
    </w:p>
    <w:sectPr w:rsidR="004B190D" w:rsidRPr="007862F8" w:rsidSect="004B18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26D6"/>
    <w:multiLevelType w:val="hybridMultilevel"/>
    <w:tmpl w:val="34AC13B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hyphenationZone w:val="425"/>
  <w:characterSpacingControl w:val="doNotCompress"/>
  <w:compat/>
  <w:rsids>
    <w:rsidRoot w:val="004B18EB"/>
    <w:rsid w:val="0004400A"/>
    <w:rsid w:val="00094208"/>
    <w:rsid w:val="000C60B2"/>
    <w:rsid w:val="0020599B"/>
    <w:rsid w:val="002E1388"/>
    <w:rsid w:val="004B18EB"/>
    <w:rsid w:val="004B190D"/>
    <w:rsid w:val="004C1787"/>
    <w:rsid w:val="00557426"/>
    <w:rsid w:val="007862F8"/>
    <w:rsid w:val="00CD56DC"/>
    <w:rsid w:val="00CF48A7"/>
    <w:rsid w:val="00DE3615"/>
    <w:rsid w:val="00E24A01"/>
    <w:rsid w:val="00E4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E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18EB"/>
    <w:rPr>
      <w:color w:val="0563C1"/>
      <w:u w:val="single"/>
    </w:rPr>
  </w:style>
  <w:style w:type="character" w:customStyle="1" w:styleId="JednostkaZnak">
    <w:name w:val="Jednostka Znak"/>
    <w:basedOn w:val="Domylnaczcionkaakapitu"/>
    <w:link w:val="Jednostka"/>
    <w:locked/>
    <w:rsid w:val="004B18EB"/>
    <w:rPr>
      <w:rFonts w:ascii="Calibri" w:hAnsi="Calibri"/>
      <w:color w:val="003D6E"/>
    </w:rPr>
  </w:style>
  <w:style w:type="paragraph" w:customStyle="1" w:styleId="Jednostka">
    <w:name w:val="Jednostka"/>
    <w:basedOn w:val="Normalny"/>
    <w:link w:val="JednostkaZnak"/>
    <w:qFormat/>
    <w:rsid w:val="004B18EB"/>
    <w:rPr>
      <w:rFonts w:cstheme="minorBidi"/>
      <w:color w:val="003D6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E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18EB"/>
    <w:rPr>
      <w:color w:val="0563C1"/>
      <w:u w:val="single"/>
    </w:rPr>
  </w:style>
  <w:style w:type="character" w:customStyle="1" w:styleId="JednostkaZnak">
    <w:name w:val="Jednostka Znak"/>
    <w:basedOn w:val="Domylnaczcionkaakapitu"/>
    <w:link w:val="Jednostka"/>
    <w:locked/>
    <w:rsid w:val="004B18EB"/>
    <w:rPr>
      <w:rFonts w:ascii="Calibri" w:hAnsi="Calibri"/>
      <w:color w:val="003D6E"/>
    </w:rPr>
  </w:style>
  <w:style w:type="paragraph" w:customStyle="1" w:styleId="Jednostka">
    <w:name w:val="Jednostka"/>
    <w:basedOn w:val="Normalny"/>
    <w:link w:val="JednostkaZnak"/>
    <w:qFormat/>
    <w:rsid w:val="004B18EB"/>
    <w:rPr>
      <w:rFonts w:cstheme="minorBidi"/>
      <w:color w:val="003D6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baza-wiedzy/biezace-wyjasnienia-komorek-merytorycznych/firmy/-/publisher/details/1/swiadczenie-postojowe-dla-osob-wykonujacych-umowy-cywilnoprawne/2551448" TargetMode="External"/><Relationship Id="rId13" Type="http://schemas.openxmlformats.org/officeDocument/2006/relationships/hyperlink" Target="https://www.zus.pl/baza-wiedzy/biblioteka-zus/platforma-uslug-elektronicznych-krok-po-kroku/rejestracja-i-logowanie" TargetMode="External"/><Relationship Id="rId18" Type="http://schemas.openxmlformats.org/officeDocument/2006/relationships/hyperlink" Target="https://www.zus.pl/firmy/ulgi/umorzenia/doradca-w-sprawie-ulg-i-umorzen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zus.pl/baza-wiedzy/biezace-wyjasnienia-komorek-merytorycznych/firmy/-/publisher/details/1/zwolnienie-z-obowiazku-oplacenia-naleznosci-z-tytulu-skladek-za-marzec-maj-2020-r_/2551396" TargetMode="External"/><Relationship Id="rId12" Type="http://schemas.openxmlformats.org/officeDocument/2006/relationships/hyperlink" Target="https://www.zus.pl/baza-wiedzy/biezace-wyjasnienia-komorek-merytorycznych/firmy" TargetMode="External"/><Relationship Id="rId17" Type="http://schemas.openxmlformats.org/officeDocument/2006/relationships/hyperlink" Target="https://www.zus.pl/baza-wiedzy/biezace-wyjasnienia-komorek-merytorycznych/-/publisher/details/1/kontakt-telefoniczny-z-zus-od-30-marca/25501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tarczaantykryzysow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aktualnosci/-/publisher/aktualnosc/1/tarcza-antykryzysowa-wsparcie-z-zus/2551371" TargetMode="External"/><Relationship Id="rId11" Type="http://schemas.openxmlformats.org/officeDocument/2006/relationships/hyperlink" Target="https://www.zus.pl/baza-wiedzy/biezace-wyjasnienia-komorek-merytorycznych/firmy/-/publisher/details/1/zawieszenie-realizacji-umowy-o-rozlozeniu-zadluzenia-na-raty-lub-umowy-o-odroczeniu-terminu-platnosci-na-3-miesiace/256239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zus.pl/o-platformie-uslug-elektronicznych-pue-/jestes-w-banku-wpadnij-do-zus-/banki-z-ktorymi-wspolpracujemy" TargetMode="External"/><Relationship Id="rId10" Type="http://schemas.openxmlformats.org/officeDocument/2006/relationships/hyperlink" Target="https://www.zus.pl/baza-wiedzy/biezace-wyjasnienia-komorek-merytorycznych/firmy/-/publisher/details/1/odstapienie-od-pobierania-odsetek-za-zwloke-dla-naleznosci-za-okres-od-stycznia-2020-r_/25624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us.pl/baza-wiedzy/biezace-wyjasnienia-komorek-merytorycznych/firmy/-/publisher/details/1/swiadczenie-postojowe-dla-osob-prowadzacych-dzialalnosc-gospodarcza/2551468" TargetMode="External"/><Relationship Id="rId14" Type="http://schemas.openxmlformats.org/officeDocument/2006/relationships/hyperlink" Target="https://www.zus.pl/o-platformie-uslug-elektronicznych-pue-/jestes-w-banku-wpadnij-do-zus-/jak-zalozysz-profil-na-pue-zus-za-posrednictwem-ban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 Monika</dc:creator>
  <cp:lastModifiedBy>alak</cp:lastModifiedBy>
  <cp:revision>2</cp:revision>
  <dcterms:created xsi:type="dcterms:W3CDTF">2020-04-23T12:06:00Z</dcterms:created>
  <dcterms:modified xsi:type="dcterms:W3CDTF">2020-04-23T12:06:00Z</dcterms:modified>
</cp:coreProperties>
</file>